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FORMATO DE ESQUEMAS BURSATILES Y DE CO-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BERTURAS FINANCIERAS DE LOS ENTES PUBLI-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COS, </w:t>
      </w: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ARTICULO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46, ULTIMO PARRAFO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En las cuentas públicas se reportarán los esquemas </w:t>
      </w:r>
      <w:proofErr w:type="spell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bursá</w:t>
      </w:r>
      <w:proofErr w:type="spell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tiles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y de coberturas financieras de los entes públicos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FORMATO DE ESQUEMAS BURSATILES Y DE CO-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BERTURAS FINANCIERAS DE LOS ENTES PUBLI-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COS, </w:t>
      </w: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ARTICULO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46, ULTIMO PARRAFO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En las cuentas públicas se reportarán los esquemas </w:t>
      </w:r>
      <w:proofErr w:type="spell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bursá</w:t>
      </w:r>
      <w:proofErr w:type="spell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tiles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y de coberturas financieras de los entes públicos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FORMATO DE ESQUEMAS BURSATILES Y DE CO-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BERTURAS FINANCIERAS DE LOS ENTES PUBLI-</w:t>
      </w:r>
    </w:p>
    <w:p w:rsidR="00574E39" w:rsidRPr="00574E39" w:rsidRDefault="00574E39" w:rsidP="00574E39">
      <w:pPr>
        <w:shd w:val="clear" w:color="auto" w:fill="FFFFFF"/>
        <w:spacing w:after="0" w:line="0" w:lineRule="auto"/>
        <w:rPr>
          <w:rFonts w:eastAsia="Times New Roman" w:cstheme="minorHAnsi"/>
          <w:color w:val="231F20"/>
          <w:sz w:val="28"/>
          <w:szCs w:val="28"/>
          <w:lang w:eastAsia="es-MX"/>
        </w:rPr>
      </w:pPr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COS, </w:t>
      </w:r>
      <w:proofErr w:type="gramStart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>ARTICULO</w:t>
      </w:r>
      <w:proofErr w:type="gramEnd"/>
      <w:r w:rsidRPr="00574E39">
        <w:rPr>
          <w:rFonts w:eastAsia="Times New Roman" w:cstheme="minorHAnsi"/>
          <w:color w:val="231F20"/>
          <w:sz w:val="28"/>
          <w:szCs w:val="28"/>
          <w:lang w:eastAsia="es-MX"/>
        </w:rPr>
        <w:t xml:space="preserve"> 46, ULTIMO PARRAFO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40"/>
          <w:szCs w:val="40"/>
        </w:rPr>
      </w:pPr>
      <w:r w:rsidRPr="00574E39">
        <w:rPr>
          <w:rFonts w:cstheme="minorHAnsi"/>
          <w:sz w:val="40"/>
          <w:szCs w:val="40"/>
        </w:rPr>
        <w:t>MUNICIPIO DE QUECHOLAC PUEBLA</w:t>
      </w:r>
    </w:p>
    <w:p w:rsidR="000117B6" w:rsidRDefault="00574E39" w:rsidP="00574E39">
      <w:pPr>
        <w:pStyle w:val="Sinespaciado"/>
        <w:rPr>
          <w:rFonts w:cstheme="minorHAnsi"/>
          <w:sz w:val="28"/>
          <w:szCs w:val="28"/>
        </w:rPr>
      </w:pPr>
      <w:r w:rsidRPr="00574E39">
        <w:rPr>
          <w:rFonts w:cstheme="minorHAnsi"/>
          <w:sz w:val="28"/>
          <w:szCs w:val="28"/>
        </w:rPr>
        <w:t xml:space="preserve">  </w:t>
      </w:r>
    </w:p>
    <w:p w:rsid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>Relación de esquemas Bursátiles y de Coberturas</w:t>
      </w:r>
      <w:r w:rsidRPr="00574E39">
        <w:rPr>
          <w:rFonts w:cstheme="minorHAnsi"/>
          <w:sz w:val="36"/>
          <w:szCs w:val="36"/>
        </w:rPr>
        <w:t xml:space="preserve"> </w:t>
      </w:r>
      <w:r w:rsidRPr="00574E39">
        <w:rPr>
          <w:rFonts w:cstheme="minorHAnsi"/>
          <w:sz w:val="36"/>
          <w:szCs w:val="36"/>
        </w:rPr>
        <w:t>Financieras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>Formato libre (Artículo 46, último párrafo LGCG)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 xml:space="preserve">En las cuentas </w:t>
      </w:r>
      <w:r w:rsidRPr="00574E39">
        <w:rPr>
          <w:rFonts w:cstheme="minorHAnsi"/>
          <w:sz w:val="36"/>
          <w:szCs w:val="36"/>
        </w:rPr>
        <w:t>públicas</w:t>
      </w:r>
      <w:r w:rsidRPr="00574E39">
        <w:rPr>
          <w:rFonts w:cstheme="minorHAnsi"/>
          <w:sz w:val="36"/>
          <w:szCs w:val="36"/>
        </w:rPr>
        <w:t xml:space="preserve"> se reportaran los esquemas bursátiles y de coberturas financieras de los entes públicos</w:t>
      </w:r>
    </w:p>
    <w:p w:rsid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bookmarkStart w:id="0" w:name="_GoBack"/>
      <w:bookmarkEnd w:id="0"/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>Al 3</w:t>
      </w:r>
      <w:r w:rsidR="007F6211">
        <w:rPr>
          <w:rFonts w:cstheme="minorHAnsi"/>
          <w:sz w:val="36"/>
          <w:szCs w:val="36"/>
        </w:rPr>
        <w:t>0</w:t>
      </w:r>
      <w:r w:rsidRPr="00574E39">
        <w:rPr>
          <w:rFonts w:cstheme="minorHAnsi"/>
          <w:sz w:val="36"/>
          <w:szCs w:val="36"/>
        </w:rPr>
        <w:t xml:space="preserve"> de </w:t>
      </w:r>
      <w:r w:rsidR="007D6C82">
        <w:rPr>
          <w:rFonts w:cstheme="minorHAnsi"/>
          <w:sz w:val="36"/>
          <w:szCs w:val="36"/>
        </w:rPr>
        <w:t xml:space="preserve">Septiembre </w:t>
      </w:r>
      <w:r w:rsidRPr="00574E39">
        <w:rPr>
          <w:rFonts w:cstheme="minorHAnsi"/>
          <w:sz w:val="36"/>
          <w:szCs w:val="36"/>
        </w:rPr>
        <w:t>de 2020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  <w:r w:rsidRPr="00574E39">
        <w:rPr>
          <w:rFonts w:cstheme="minorHAnsi"/>
          <w:sz w:val="36"/>
          <w:szCs w:val="36"/>
        </w:rPr>
        <w:t xml:space="preserve">NO </w:t>
      </w:r>
      <w:r w:rsidRPr="00574E39">
        <w:rPr>
          <w:rFonts w:cstheme="minorHAnsi"/>
          <w:sz w:val="36"/>
          <w:szCs w:val="36"/>
        </w:rPr>
        <w:t>SE TIENE ESQUEMAS BURSATILES Y DE COBERTURA FINANCIERAS</w:t>
      </w:r>
      <w:r w:rsidRPr="00574E39">
        <w:rPr>
          <w:rFonts w:cstheme="minorHAnsi"/>
          <w:sz w:val="36"/>
          <w:szCs w:val="36"/>
        </w:rPr>
        <w:t xml:space="preserve"> EN ESTE MUNICIPIO</w:t>
      </w:r>
    </w:p>
    <w:p w:rsidR="00574E39" w:rsidRPr="00574E39" w:rsidRDefault="00574E39" w:rsidP="00574E39">
      <w:pPr>
        <w:pStyle w:val="Sinespaciado"/>
        <w:jc w:val="center"/>
        <w:rPr>
          <w:rFonts w:cstheme="minorHAnsi"/>
          <w:sz w:val="36"/>
          <w:szCs w:val="36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jc w:val="center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p w:rsidR="00574E39" w:rsidRPr="00574E39" w:rsidRDefault="00574E39" w:rsidP="00574E39">
      <w:pPr>
        <w:pStyle w:val="Sinespaciado"/>
        <w:rPr>
          <w:rFonts w:cstheme="minorHAnsi"/>
          <w:sz w:val="28"/>
          <w:szCs w:val="28"/>
        </w:rPr>
      </w:pPr>
    </w:p>
    <w:sectPr w:rsidR="00574E39" w:rsidRPr="00574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39"/>
    <w:rsid w:val="000117B6"/>
    <w:rsid w:val="00574E39"/>
    <w:rsid w:val="007D6C82"/>
    <w:rsid w:val="007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9939D-19AE-4813-916C-7349B85D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4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 01</dc:creator>
  <cp:keywords/>
  <dc:description/>
  <cp:lastModifiedBy>CONTABILIDAD 01</cp:lastModifiedBy>
  <cp:revision>2</cp:revision>
  <dcterms:created xsi:type="dcterms:W3CDTF">2020-12-22T18:38:00Z</dcterms:created>
  <dcterms:modified xsi:type="dcterms:W3CDTF">2020-12-22T18:38:00Z</dcterms:modified>
</cp:coreProperties>
</file>